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76" w:lineRule="auto"/>
        <w:jc w:val="center"/>
        <w:rPr>
          <w:rFonts w:ascii="Arial" w:cs="Arial" w:eastAsia="Arial" w:hAnsi="Arial"/>
          <w:b w:val="1"/>
        </w:rPr>
      </w:pPr>
      <w:r w:rsidDel="00000000" w:rsidR="00000000" w:rsidRPr="00000000">
        <w:rPr>
          <w:rFonts w:ascii="Arial" w:cs="Arial" w:eastAsia="Arial" w:hAnsi="Arial"/>
          <w:b w:val="1"/>
          <w:rtl w:val="0"/>
        </w:rPr>
        <w:t xml:space="preserve">Özel Bilkent Okulları </w:t>
      </w:r>
    </w:p>
    <w:p w:rsidR="00000000" w:rsidDel="00000000" w:rsidP="00000000" w:rsidRDefault="00000000" w:rsidRPr="00000000" w14:paraId="00000002">
      <w:pPr>
        <w:spacing w:after="120" w:line="276" w:lineRule="auto"/>
        <w:jc w:val="center"/>
        <w:rPr>
          <w:rFonts w:ascii="Arial" w:cs="Arial" w:eastAsia="Arial" w:hAnsi="Arial"/>
          <w:b w:val="1"/>
        </w:rPr>
      </w:pPr>
      <w:r w:rsidDel="00000000" w:rsidR="00000000" w:rsidRPr="00000000">
        <w:rPr>
          <w:rFonts w:ascii="Arial" w:cs="Arial" w:eastAsia="Arial" w:hAnsi="Arial"/>
          <w:b w:val="1"/>
          <w:rtl w:val="0"/>
        </w:rPr>
        <w:t xml:space="preserve">IB DP/MYP Akademik Şikayet Prosedürü</w:t>
      </w:r>
    </w:p>
    <w:p w:rsidR="00000000" w:rsidDel="00000000" w:rsidP="00000000" w:rsidRDefault="00000000" w:rsidRPr="00000000" w14:paraId="00000003">
      <w:pPr>
        <w:spacing w:after="120" w:line="276" w:lineRule="auto"/>
        <w:rPr>
          <w:rFonts w:ascii="Arial" w:cs="Arial" w:eastAsia="Arial" w:hAnsi="Arial"/>
        </w:rPr>
      </w:pPr>
      <w:bookmarkStart w:colFirst="0" w:colLast="0" w:name="_heading=h.gflmquujw1n3" w:id="0"/>
      <w:bookmarkEnd w:id="0"/>
      <w:r w:rsidDel="00000000" w:rsidR="00000000" w:rsidRPr="00000000">
        <w:rPr>
          <w:rFonts w:ascii="Arial" w:cs="Arial" w:eastAsia="Arial" w:hAnsi="Arial"/>
          <w:rtl w:val="0"/>
        </w:rPr>
        <w:t xml:space="preserve">Özel Bilkent Okulları, kesintisiz olarak uyguladığı üç Uluslararası Bakalorya (IB) programında programların işlenişinde yüksek standartları yakalayan ve çocukların küresel bir odak noktasına sahip sorgulama temelli bir eğitim almalarını garanti eden bir IB eğitimi sunmaya kendini adamıştır.</w:t>
      </w:r>
    </w:p>
    <w:p w:rsidR="00000000" w:rsidDel="00000000" w:rsidP="00000000" w:rsidRDefault="00000000" w:rsidRPr="00000000" w14:paraId="00000004">
      <w:pPr>
        <w:spacing w:after="120" w:line="276" w:lineRule="auto"/>
        <w:rPr>
          <w:rFonts w:ascii="Arial" w:cs="Arial" w:eastAsia="Arial" w:hAnsi="Arial"/>
        </w:rPr>
      </w:pPr>
      <w:r w:rsidDel="00000000" w:rsidR="00000000" w:rsidRPr="00000000">
        <w:rPr>
          <w:rFonts w:ascii="Arial" w:cs="Arial" w:eastAsia="Arial" w:hAnsi="Arial"/>
          <w:rtl w:val="0"/>
        </w:rPr>
        <w:t xml:space="preserve">Okullar, öğrencileri kişisel ve akademik bir düzeyde bireysel ve kariyerle ilişkili ideallerini gerçekleştirmeye hazırlamayı ve herkes için daha iyi ve barışçıl bir dünya yaratmak üzere kendi bağlamlarındaki ve toplumdaki gereksinimlerin karşılanmasına katkıda bulunmalarına olanak tanımayı amaçlar.</w:t>
      </w:r>
    </w:p>
    <w:p w:rsidR="00000000" w:rsidDel="00000000" w:rsidP="00000000" w:rsidRDefault="00000000" w:rsidRPr="00000000" w14:paraId="00000005">
      <w:pPr>
        <w:spacing w:after="120" w:line="276" w:lineRule="auto"/>
        <w:rPr>
          <w:rFonts w:ascii="Arial" w:cs="Arial" w:eastAsia="Arial" w:hAnsi="Arial"/>
        </w:rPr>
      </w:pPr>
      <w:r w:rsidDel="00000000" w:rsidR="00000000" w:rsidRPr="00000000">
        <w:rPr>
          <w:rFonts w:ascii="Arial" w:cs="Arial" w:eastAsia="Arial" w:hAnsi="Arial"/>
          <w:rtl w:val="0"/>
        </w:rPr>
        <w:t xml:space="preserve">Yukarıda belirtilen amaçlarımızı olası en etkili şekilde gerçekleştirme isteğimiz doğrultusunda okul, </w:t>
      </w:r>
      <w:r w:rsidDel="00000000" w:rsidR="00000000" w:rsidRPr="00000000">
        <w:rPr>
          <w:rFonts w:ascii="Arial" w:cs="Arial" w:eastAsia="Arial" w:hAnsi="Arial"/>
          <w:b w:val="1"/>
          <w:rtl w:val="0"/>
        </w:rPr>
        <w:t xml:space="preserve">okulların öğretim programının uygulanması, öğretim veya değerlendirme ya da okulların çevrim içi yayımlanan politikalarının diğer yönleriyle ilgili beklentilerini karşılamadığı</w:t>
      </w:r>
      <w:r w:rsidDel="00000000" w:rsidR="00000000" w:rsidRPr="00000000">
        <w:rPr>
          <w:rFonts w:ascii="Arial" w:cs="Arial" w:eastAsia="Arial" w:hAnsi="Arial"/>
          <w:rtl w:val="0"/>
        </w:rPr>
        <w:t xml:space="preserve">nı (IB Genel Kurallar Madde 6’ya göre) düşünen öğrenci ve velilerden gelecek geribildirimi memnuniyetle karşılar ve kurum gelişimini desteklemek için fırsat olarak değerlendirir.</w:t>
      </w:r>
    </w:p>
    <w:p w:rsidR="00000000" w:rsidDel="00000000" w:rsidP="00000000" w:rsidRDefault="00000000" w:rsidRPr="00000000" w14:paraId="00000006">
      <w:pPr>
        <w:spacing w:after="120" w:line="276" w:lineRule="auto"/>
        <w:rPr>
          <w:rFonts w:ascii="Arial" w:cs="Arial" w:eastAsia="Arial" w:hAnsi="Arial"/>
        </w:rPr>
      </w:pPr>
      <w:r w:rsidDel="00000000" w:rsidR="00000000" w:rsidRPr="00000000">
        <w:rPr>
          <w:rFonts w:ascii="Arial" w:cs="Arial" w:eastAsia="Arial" w:hAnsi="Arial"/>
          <w:rtl w:val="0"/>
        </w:rPr>
        <w:t xml:space="preserve">Bir uyuşmazlık olması durumunda, öne sürülen meselelere bütün paydaşların kabul edebileceği çözümler üretmek üzere veliler sahip olduğu haklarla aşağıdaki adımları izleyerek şikayetlerini bildirebilirler. </w:t>
      </w:r>
    </w:p>
    <w:p w:rsidR="00000000" w:rsidDel="00000000" w:rsidP="00000000" w:rsidRDefault="00000000" w:rsidRPr="00000000" w14:paraId="00000007">
      <w:pPr>
        <w:spacing w:after="120" w:line="276" w:lineRule="auto"/>
        <w:rPr>
          <w:rFonts w:ascii="Arial" w:cs="Arial" w:eastAsia="Arial" w:hAnsi="Arial"/>
        </w:rPr>
      </w:pPr>
      <w:r w:rsidDel="00000000" w:rsidR="00000000" w:rsidRPr="00000000">
        <w:rPr>
          <w:rFonts w:ascii="Arial" w:cs="Arial" w:eastAsia="Arial" w:hAnsi="Arial"/>
          <w:rtl w:val="0"/>
        </w:rPr>
        <w:t xml:space="preserve">Çoğu durumda programın etkili bir şekilde sunulmasından birinci derecede sorumlu olan çalışanlarla yapılacak ortak çalışma toplantılarıyla meselelere çözüm bulunacağı umulmaktadır. </w:t>
      </w:r>
    </w:p>
    <w:p w:rsidR="00000000" w:rsidDel="00000000" w:rsidP="00000000" w:rsidRDefault="00000000" w:rsidRPr="00000000" w14:paraId="00000008">
      <w:pPr>
        <w:spacing w:after="120" w:line="276" w:lineRule="auto"/>
        <w:rPr>
          <w:rFonts w:ascii="Arial" w:cs="Arial" w:eastAsia="Arial" w:hAnsi="Arial"/>
          <w:b w:val="1"/>
        </w:rPr>
      </w:pPr>
      <w:r w:rsidDel="00000000" w:rsidR="00000000" w:rsidRPr="00000000">
        <w:rPr>
          <w:rFonts w:ascii="Arial" w:cs="Arial" w:eastAsia="Arial" w:hAnsi="Arial"/>
          <w:b w:val="1"/>
          <w:rtl w:val="0"/>
        </w:rPr>
        <w:t xml:space="preserve">Düzey 1 – IB program koordinatörleriyle/Sınıf Öğretmeniyle toplantı (PYP, MYP, DP)</w:t>
      </w:r>
    </w:p>
    <w:p w:rsidR="00000000" w:rsidDel="00000000" w:rsidP="00000000" w:rsidRDefault="00000000" w:rsidRPr="00000000" w14:paraId="00000009">
      <w:pPr>
        <w:spacing w:after="120" w:line="276" w:lineRule="auto"/>
        <w:rPr>
          <w:rFonts w:ascii="Arial" w:cs="Arial" w:eastAsia="Arial" w:hAnsi="Arial"/>
        </w:rPr>
      </w:pPr>
      <w:r w:rsidDel="00000000" w:rsidR="00000000" w:rsidRPr="00000000">
        <w:rPr>
          <w:rFonts w:ascii="Arial" w:cs="Arial" w:eastAsia="Arial" w:hAnsi="Arial"/>
          <w:rtl w:val="0"/>
        </w:rPr>
        <w:t xml:space="preserve">İlk olarak velilerin hoşnutsuzluklarının bilinmesini istedikleri herhangi bir mesele ortaya çıkarsa veliler kaygılarını doğrudan program için ilgili IB koordinatörüne iletmelidirler. </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Koordinatörün/</w:t>
      </w:r>
      <w:r w:rsidDel="00000000" w:rsidR="00000000" w:rsidRPr="00000000">
        <w:rPr>
          <w:rFonts w:ascii="Arial" w:cs="Arial" w:eastAsia="Arial" w:hAnsi="Arial"/>
          <w:rtl w:val="0"/>
        </w:rPr>
        <w:t xml:space="preserve">sınıf öğretmeninin</w:t>
      </w:r>
      <w:r w:rsidDel="00000000" w:rsidR="00000000" w:rsidRPr="00000000">
        <w:rPr>
          <w:rFonts w:ascii="Arial" w:cs="Arial" w:eastAsia="Arial" w:hAnsi="Arial"/>
          <w:color w:val="000000"/>
          <w:rtl w:val="0"/>
        </w:rPr>
        <w:t xml:space="preserve"> öne sürülen sorunla ilgili araştırma yapma olanağı bulması için meseleyi daha iyi anlamasına ve gereken kanıtlar varsa bunları toplamasına olanak sağlamak üzere velilerden şikayete konu olan meselenin yazılı bir ifadesini iletmeleri istenir.</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Şikayette bulunan kişi ilgili koordinatörle/sınıf öğretmeniyle bir toplantı istemeli, ardından koordinatörle/sınıf öğretmeniyle bir araya gelerek konuyu sunmalıdırlar. Bunun için düzenlemeler doğrudan koordinatörle</w:t>
      </w:r>
      <w:r w:rsidDel="00000000" w:rsidR="00000000" w:rsidRPr="00000000">
        <w:rPr>
          <w:rFonts w:ascii="Arial" w:cs="Arial" w:eastAsia="Arial" w:hAnsi="Arial"/>
          <w:rtl w:val="0"/>
        </w:rPr>
        <w:t xml:space="preserve">/sınıf öğretmeniyle </w:t>
      </w:r>
      <w:r w:rsidDel="00000000" w:rsidR="00000000" w:rsidRPr="00000000">
        <w:rPr>
          <w:rFonts w:ascii="Arial" w:cs="Arial" w:eastAsia="Arial" w:hAnsi="Arial"/>
          <w:color w:val="000000"/>
          <w:rtl w:val="0"/>
        </w:rPr>
        <w:t xml:space="preserve">telefon ya da e-posta aracılığıyla ya da okuldaki sekreterlik sistemi kullanılarak yapılabilir.</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Bu düzeydeki ortak çalışma toplantısının birinci amacı, konunun IB programı çerçevesinde çözülmesini sağlamak ve şikayetçinin meselenin adil ve profesyonel bir şekilde ele alındığını sağlamaktır.  </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Öne sürülen meselenin kapsamında akademik olduğu kadar kişisel durumlar da olabileceğinden, belirli durumlarda koordinatör/sınıf öğretmeni sürece bir danışmanın katılmasını önerebilir.</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12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Mesele ilgili bütün taraflar için doyurucu bir şekilde çözüme ulaşırsa, daha ileri düzeyde bir adım atılmayacaktır. </w:t>
      </w:r>
    </w:p>
    <w:p w:rsidR="00000000" w:rsidDel="00000000" w:rsidP="00000000" w:rsidRDefault="00000000" w:rsidRPr="00000000" w14:paraId="0000000F">
      <w:pPr>
        <w:spacing w:after="12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after="12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1">
      <w:pPr>
        <w:spacing w:after="120" w:line="276" w:lineRule="auto"/>
        <w:rPr>
          <w:rFonts w:ascii="Arial" w:cs="Arial" w:eastAsia="Arial" w:hAnsi="Arial"/>
          <w:b w:val="1"/>
        </w:rPr>
      </w:pPr>
      <w:r w:rsidDel="00000000" w:rsidR="00000000" w:rsidRPr="00000000">
        <w:rPr>
          <w:rFonts w:ascii="Arial" w:cs="Arial" w:eastAsia="Arial" w:hAnsi="Arial"/>
          <w:b w:val="1"/>
          <w:rtl w:val="0"/>
        </w:rPr>
        <w:t xml:space="preserve">Düzey 2a – Resmi şikayet prosedürü </w:t>
      </w:r>
    </w:p>
    <w:p w:rsidR="00000000" w:rsidDel="00000000" w:rsidP="00000000" w:rsidRDefault="00000000" w:rsidRPr="00000000" w14:paraId="00000012">
      <w:pPr>
        <w:spacing w:after="120" w:line="276" w:lineRule="auto"/>
        <w:rPr>
          <w:rFonts w:ascii="Arial" w:cs="Arial" w:eastAsia="Arial" w:hAnsi="Arial"/>
        </w:rPr>
      </w:pPr>
      <w:r w:rsidDel="00000000" w:rsidR="00000000" w:rsidRPr="00000000">
        <w:rPr>
          <w:rFonts w:ascii="Arial" w:cs="Arial" w:eastAsia="Arial" w:hAnsi="Arial"/>
          <w:rtl w:val="0"/>
        </w:rPr>
        <w:t xml:space="preserve">Düzey 2a; şikayetlerin, ulusal yönetmelikler çerçevesinde bütün okullara açık olan resmi kanallar yoluyla ele alınmasına imkan verir. </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Bir şikayet yukarıdaki düzey 1’de ele alındıktan sonra veli çıkan sonuçtan memnun olmazsa ilgili okulun müdürüne meseleyi anlatan bir yazı yazabilir.</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Yazılı belgedeki şikayet müdüre iletildikten sonra, bu şikayete ilgili yönetmeliklerde belirlenen resmi süreler içerisinde yanıt verilir. </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Müdür meseleyi yeniden tartışmak ve her iki taraf için de kabul edilebilir bir çözüm arayıp bulmak için bir toplantı ayarlayabilir.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Müdür toplantı yapmadan, şikayete yürürlükteki yönetmeliklere dayanan kurumsal yanıtı ana hatlarıyla anlattığı yazılı bir cevap verme kararı alabilir. </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Şikayette bulunan kişi şikayete neden olan konunun çözüme ulaşmadığını düşünürse daha ileri düzeyde ele alınmasını sağlamak için ilgili yönetmelikler çerçevesinde bir üst merciye başvurabilir veya düzey 2b adımlarını takip edebilir.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76"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276"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120" w:line="276" w:lineRule="auto"/>
        <w:rPr>
          <w:rFonts w:ascii="Arial" w:cs="Arial" w:eastAsia="Arial" w:hAnsi="Arial"/>
          <w:b w:val="1"/>
        </w:rPr>
      </w:pPr>
      <w:r w:rsidDel="00000000" w:rsidR="00000000" w:rsidRPr="00000000">
        <w:rPr>
          <w:rFonts w:ascii="Arial" w:cs="Arial" w:eastAsia="Arial" w:hAnsi="Arial"/>
          <w:b w:val="1"/>
          <w:rtl w:val="0"/>
        </w:rPr>
        <w:t xml:space="preserve">Düzey 2b – Doğrudan Uluslararası Bakalorya’ya (IB) yapılan resmi şikayet</w:t>
      </w:r>
    </w:p>
    <w:p w:rsidR="00000000" w:rsidDel="00000000" w:rsidP="00000000" w:rsidRDefault="00000000" w:rsidRPr="00000000" w14:paraId="0000001B">
      <w:pPr>
        <w:spacing w:after="120" w:line="276" w:lineRule="auto"/>
        <w:rPr>
          <w:rFonts w:ascii="Arial" w:cs="Arial" w:eastAsia="Arial" w:hAnsi="Arial"/>
        </w:rPr>
      </w:pPr>
      <w:r w:rsidDel="00000000" w:rsidR="00000000" w:rsidRPr="00000000">
        <w:rPr>
          <w:rFonts w:ascii="Arial" w:cs="Arial" w:eastAsia="Arial" w:hAnsi="Arial"/>
          <w:rtl w:val="0"/>
        </w:rPr>
        <w:t xml:space="preserve">Şikayet Uluslararası Bakalorya’nın kuralları ve yönetmelikleriyle yönetilen politikalarla ilgiliyse, şikayette bulunan kişi şikayetini resmi IB belgelerinde belirtilen süreçlerle dile getirebilir.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Bu durumda okul ya müdür ya da IB koordinatörü aracılığıyla ilgili tarafları, yapılan şikayete ilişkin IB kural ve yönetmelikleri ve şikayetlerini IB’ye nasıl bildirecekleri konusunda bilgilendirecektir. </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12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IB kurallarıyla hukuki bir ihtilaf içeren şikayetlerde şikayetlerin doğrudan IB’yle çözülmesi sürecine IB organizasyonunun uluslararası kural ve yönetmeliklerini içeren durumlarda yargılama yetkisine sahip İsviçre Mahkemelerinin katılımı gerekebilir. </w:t>
      </w:r>
    </w:p>
    <w:p w:rsidR="00000000" w:rsidDel="00000000" w:rsidP="00000000" w:rsidRDefault="00000000" w:rsidRPr="00000000" w14:paraId="0000001E">
      <w:pPr>
        <w:spacing w:after="120" w:line="276" w:lineRule="auto"/>
        <w:rPr>
          <w:rFonts w:ascii="Arial" w:cs="Arial" w:eastAsia="Arial" w:hAnsi="Arial"/>
        </w:rPr>
      </w:pPr>
      <w:r w:rsidDel="00000000" w:rsidR="00000000" w:rsidRPr="00000000">
        <w:rPr>
          <w:rFonts w:ascii="Arial" w:cs="Arial" w:eastAsia="Arial" w:hAnsi="Arial"/>
          <w:rtl w:val="0"/>
        </w:rPr>
        <w:t xml:space="preserve">Bir şikayetle ilgili her durumda okul, ilgili kişilerle ilişkilerini olumlu bir çerçevede sürdürürken, sürecin adil ve eşitlikçi yürütülmesi için elinden geleni yapacaktır. </w:t>
      </w:r>
    </w:p>
    <w:p w:rsidR="00000000" w:rsidDel="00000000" w:rsidP="00000000" w:rsidRDefault="00000000" w:rsidRPr="00000000" w14:paraId="0000001F">
      <w:pPr>
        <w:spacing w:after="120" w:line="276" w:lineRule="auto"/>
        <w:rPr>
          <w:rFonts w:ascii="Arial" w:cs="Arial" w:eastAsia="Arial" w:hAnsi="Arial"/>
        </w:rPr>
      </w:pPr>
      <w:r w:rsidDel="00000000" w:rsidR="00000000" w:rsidRPr="00000000">
        <w:rPr>
          <w:rFonts w:ascii="Arial" w:cs="Arial" w:eastAsia="Arial" w:hAnsi="Arial"/>
          <w:rtl w:val="0"/>
        </w:rPr>
        <w:tab/>
        <w:tab/>
        <w:tab/>
        <w:tab/>
        <w:tab/>
        <w:tab/>
        <w:tab/>
        <w:tab/>
      </w:r>
    </w:p>
    <w:p w:rsidR="00000000" w:rsidDel="00000000" w:rsidP="00000000" w:rsidRDefault="00000000" w:rsidRPr="00000000" w14:paraId="00000020">
      <w:pPr>
        <w:spacing w:after="12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120" w:line="276" w:lineRule="auto"/>
        <w:rPr>
          <w:rFonts w:ascii="Arial" w:cs="Arial" w:eastAsia="Arial" w:hAnsi="Arial"/>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gdhi07kO8JgP0FLerG3R1WAQg==">CgMxLjAyDmguZ2ZsbXF1dWp3MW4zOAByITFrQ29EWEVBMlVadGU4eUxId3loNzg2NE85OXRjdVFOWA==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2025-04-29T05:49:00Z</dcterms:created>
</cp:coreProperties>
</file>